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55B" w:rsidRDefault="00E4655B" w:rsidP="00E4655B">
      <w:pPr>
        <w:suppressLineNumbers/>
        <w:spacing w:after="0" w:line="240" w:lineRule="auto"/>
        <w:rPr>
          <w:rFonts w:ascii="Times New Roman" w:eastAsia="Times New Roman" w:hAnsi="Times New Roman" w:cs="David"/>
          <w:noProof/>
          <w:sz w:val="26"/>
          <w:szCs w:val="26"/>
          <w:rtl/>
        </w:rPr>
      </w:pPr>
      <w:bookmarkStart w:id="0" w:name="_GoBack"/>
      <w:bookmarkEnd w:id="0"/>
    </w:p>
    <w:p w:rsidR="00E4655B" w:rsidRDefault="00E4655B" w:rsidP="00E4655B">
      <w:pPr>
        <w:pStyle w:val="a4"/>
        <w:jc w:val="center"/>
        <w:rPr>
          <w:rFonts w:cs="FrankRuehl"/>
          <w:noProof w:val="0"/>
          <w:sz w:val="28"/>
          <w:szCs w:val="28"/>
        </w:rPr>
      </w:pPr>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E4655B" w:rsidTr="00E4655B">
        <w:trPr>
          <w:trHeight w:val="670"/>
          <w:jc w:val="center"/>
        </w:trPr>
        <w:sdt>
          <w:sdtPr>
            <w:rPr>
              <w:rtl/>
            </w:rPr>
            <w:alias w:val="1174"/>
            <w:tag w:val="1174"/>
            <w:id w:val="-1775709220"/>
            <w:text/>
          </w:sdtPr>
          <w:sdtEndPr/>
          <w:sdtContent>
            <w:tc>
              <w:tcPr>
                <w:tcW w:w="8721" w:type="dxa"/>
                <w:gridSpan w:val="2"/>
                <w:hideMark/>
              </w:tcPr>
              <w:p w:rsidR="00E4655B" w:rsidRDefault="00E4655B">
                <w:pPr>
                  <w:pStyle w:val="a4"/>
                  <w:jc w:val="center"/>
                  <w:rPr>
                    <w:rtl/>
                  </w:rPr>
                </w:pPr>
                <w:r>
                  <w:rPr>
                    <w:rFonts w:ascii="Tahoma" w:hAnsi="Tahoma" w:cs="Tahoma"/>
                    <w:b/>
                    <w:bCs/>
                    <w:noProof w:val="0"/>
                    <w:color w:val="000080"/>
                    <w:rtl/>
                  </w:rPr>
                  <w:t>בית משפט לענייני משפחה בפתח תקווה</w:t>
                </w:r>
              </w:p>
            </w:tc>
          </w:sdtContent>
        </w:sdt>
      </w:tr>
      <w:tr w:rsidR="00E4655B" w:rsidTr="00E4655B">
        <w:trPr>
          <w:trHeight w:val="337"/>
          <w:jc w:val="center"/>
        </w:trPr>
        <w:tc>
          <w:tcPr>
            <w:tcW w:w="5047" w:type="dxa"/>
          </w:tcPr>
          <w:p w:rsidR="00E4655B" w:rsidRDefault="00E4655B">
            <w:pPr>
              <w:rPr>
                <w:b/>
                <w:bCs/>
                <w:sz w:val="26"/>
                <w:szCs w:val="26"/>
                <w:rtl/>
              </w:rPr>
            </w:pPr>
          </w:p>
        </w:tc>
        <w:tc>
          <w:tcPr>
            <w:tcW w:w="3674" w:type="dxa"/>
          </w:tcPr>
          <w:p w:rsidR="00E4655B" w:rsidRDefault="00E4655B">
            <w:pPr>
              <w:pStyle w:val="a4"/>
              <w:jc w:val="right"/>
              <w:rPr>
                <w:b/>
                <w:bCs/>
                <w:noProof w:val="0"/>
                <w:sz w:val="26"/>
                <w:szCs w:val="26"/>
                <w:rtl/>
              </w:rPr>
            </w:pPr>
          </w:p>
        </w:tc>
      </w:tr>
      <w:tr w:rsidR="00E4655B" w:rsidTr="00E4655B">
        <w:trPr>
          <w:trHeight w:val="337"/>
          <w:jc w:val="center"/>
        </w:trPr>
        <w:tc>
          <w:tcPr>
            <w:tcW w:w="8721" w:type="dxa"/>
            <w:gridSpan w:val="2"/>
          </w:tcPr>
          <w:p w:rsidR="00E4655B" w:rsidRPr="00E4655B" w:rsidRDefault="00E27845" w:rsidP="00E4655B">
            <w:pPr>
              <w:rPr>
                <w:rFonts w:ascii="Times New Roman" w:eastAsia="Times New Roman" w:hAnsi="Times New Roman" w:cs="David"/>
                <w:b/>
                <w:bCs/>
                <w:sz w:val="28"/>
                <w:szCs w:val="24"/>
                <w:rtl/>
              </w:rPr>
            </w:pPr>
            <w:sdt>
              <w:sdtPr>
                <w:rPr>
                  <w:rFonts w:ascii="Times New Roman" w:eastAsia="Times New Roman" w:hAnsi="Times New Roman" w:cs="David"/>
                  <w:b/>
                  <w:bCs/>
                  <w:sz w:val="28"/>
                  <w:szCs w:val="24"/>
                  <w:rtl/>
                </w:rPr>
                <w:alias w:val="1170"/>
                <w:tag w:val="1170"/>
                <w:id w:val="299038016"/>
                <w:text w:multiLine="1"/>
              </w:sdtPr>
              <w:sdtEndPr/>
              <w:sdtContent>
                <w:r w:rsidR="00E4655B" w:rsidRPr="00E4655B">
                  <w:rPr>
                    <w:rFonts w:ascii="Times New Roman" w:eastAsia="Times New Roman" w:hAnsi="Times New Roman" w:cs="David"/>
                    <w:b/>
                    <w:bCs/>
                    <w:sz w:val="28"/>
                    <w:szCs w:val="24"/>
                    <w:rtl/>
                  </w:rPr>
                  <w:t>ע"ר</w:t>
                </w:r>
              </w:sdtContent>
            </w:sdt>
            <w:r w:rsidR="00E4655B" w:rsidRPr="00E4655B">
              <w:rPr>
                <w:rFonts w:ascii="Times New Roman" w:eastAsia="Times New Roman" w:hAnsi="Times New Roman" w:cs="David"/>
                <w:b/>
                <w:bCs/>
                <w:sz w:val="28"/>
                <w:szCs w:val="24"/>
                <w:rtl/>
              </w:rPr>
              <w:t xml:space="preserve"> </w:t>
            </w:r>
            <w:sdt>
              <w:sdtPr>
                <w:rPr>
                  <w:rFonts w:ascii="Times New Roman" w:eastAsia="Times New Roman" w:hAnsi="Times New Roman" w:cs="David"/>
                  <w:b/>
                  <w:bCs/>
                  <w:sz w:val="28"/>
                  <w:szCs w:val="24"/>
                  <w:rtl/>
                </w:rPr>
                <w:alias w:val="1171"/>
                <w:tag w:val="1171"/>
                <w:id w:val="81650337"/>
                <w:text w:multiLine="1"/>
              </w:sdtPr>
              <w:sdtEndPr/>
              <w:sdtContent>
                <w:r w:rsidR="00E4655B" w:rsidRPr="00E4655B">
                  <w:rPr>
                    <w:rFonts w:ascii="Times New Roman" w:eastAsia="Times New Roman" w:hAnsi="Times New Roman" w:cs="David"/>
                    <w:b/>
                    <w:bCs/>
                    <w:sz w:val="28"/>
                    <w:szCs w:val="24"/>
                    <w:rtl/>
                  </w:rPr>
                  <w:t>3390-04-24</w:t>
                </w:r>
              </w:sdtContent>
            </w:sdt>
            <w:r w:rsidR="00E4655B" w:rsidRPr="00E4655B">
              <w:rPr>
                <w:rFonts w:ascii="Times New Roman" w:eastAsia="Times New Roman" w:hAnsi="Times New Roman" w:cs="David"/>
                <w:b/>
                <w:bCs/>
                <w:sz w:val="28"/>
                <w:szCs w:val="24"/>
                <w:rtl/>
              </w:rPr>
              <w:t xml:space="preserve"> </w:t>
            </w:r>
            <w:sdt>
              <w:sdtPr>
                <w:rPr>
                  <w:rFonts w:ascii="Times New Roman" w:eastAsia="Times New Roman" w:hAnsi="Times New Roman" w:cs="David"/>
                  <w:b/>
                  <w:bCs/>
                  <w:sz w:val="28"/>
                  <w:szCs w:val="24"/>
                  <w:rtl/>
                </w:rPr>
                <w:alias w:val="1172"/>
                <w:tag w:val="1172"/>
                <w:id w:val="-1742169342"/>
                <w:text w:multiLine="1"/>
              </w:sdtPr>
              <w:sdtEndPr/>
              <w:sdtContent>
                <w:r w:rsidR="00E4655B" w:rsidRPr="00E4655B">
                  <w:rPr>
                    <w:rFonts w:ascii="Times New Roman" w:eastAsia="Times New Roman" w:hAnsi="Times New Roman" w:cs="David"/>
                    <w:b/>
                    <w:bCs/>
                    <w:sz w:val="28"/>
                    <w:szCs w:val="24"/>
                    <w:rtl/>
                  </w:rPr>
                  <w:t>כ</w:t>
                </w:r>
                <w:r w:rsidR="00E4655B">
                  <w:rPr>
                    <w:rFonts w:ascii="Times New Roman" w:eastAsia="Times New Roman" w:hAnsi="Times New Roman" w:cs="David" w:hint="cs"/>
                    <w:b/>
                    <w:bCs/>
                    <w:sz w:val="28"/>
                    <w:szCs w:val="24"/>
                    <w:rtl/>
                  </w:rPr>
                  <w:t xml:space="preserve">. </w:t>
                </w:r>
                <w:r w:rsidR="00E4655B" w:rsidRPr="00E4655B">
                  <w:rPr>
                    <w:rFonts w:ascii="Times New Roman" w:eastAsia="Times New Roman" w:hAnsi="Times New Roman" w:cs="David"/>
                    <w:b/>
                    <w:bCs/>
                    <w:sz w:val="28"/>
                    <w:szCs w:val="24"/>
                    <w:rtl/>
                  </w:rPr>
                  <w:t>נ' ב</w:t>
                </w:r>
                <w:r w:rsidR="00E4655B">
                  <w:rPr>
                    <w:rFonts w:ascii="Times New Roman" w:eastAsia="Times New Roman" w:hAnsi="Times New Roman" w:cs="David" w:hint="cs"/>
                    <w:b/>
                    <w:bCs/>
                    <w:sz w:val="28"/>
                    <w:szCs w:val="24"/>
                    <w:rtl/>
                  </w:rPr>
                  <w:t xml:space="preserve">. </w:t>
                </w:r>
              </w:sdtContent>
            </w:sdt>
          </w:p>
        </w:tc>
      </w:tr>
    </w:tbl>
    <w:p w:rsidR="00E4655B" w:rsidRPr="00E4655B" w:rsidRDefault="00E4655B" w:rsidP="00E4655B">
      <w:pPr>
        <w:suppressLineNumbers/>
        <w:spacing w:after="0" w:line="240" w:lineRule="auto"/>
        <w:rPr>
          <w:rFonts w:ascii="Times New Roman" w:eastAsia="Times New Roman" w:hAnsi="Times New Roman" w:cs="David"/>
          <w:noProof/>
          <w:sz w:val="26"/>
          <w:szCs w:val="26"/>
        </w:rPr>
      </w:pPr>
    </w:p>
    <w:tbl>
      <w:tblPr>
        <w:tblStyle w:val="a3"/>
        <w:bidiVisual/>
        <w:tblW w:w="8253"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004"/>
      </w:tblGrid>
      <w:tr w:rsidR="00E4655B" w:rsidRPr="00E4655B" w:rsidTr="00E4655B">
        <w:trPr>
          <w:jc w:val="center"/>
        </w:trPr>
        <w:tc>
          <w:tcPr>
            <w:tcW w:w="743" w:type="dxa"/>
            <w:hideMark/>
          </w:tcPr>
          <w:p w:rsidR="00E4655B" w:rsidRDefault="00E4655B" w:rsidP="00E4655B">
            <w:pPr>
              <w:jc w:val="left"/>
              <w:rPr>
                <w:rFonts w:cs="David"/>
                <w:b/>
                <w:bCs/>
                <w:noProof/>
                <w:sz w:val="28"/>
                <w:szCs w:val="24"/>
                <w:rtl/>
              </w:rPr>
            </w:pPr>
            <w:r w:rsidRPr="00E4655B">
              <w:rPr>
                <w:rFonts w:cs="David"/>
                <w:b/>
                <w:bCs/>
                <w:noProof/>
                <w:sz w:val="28"/>
                <w:szCs w:val="24"/>
                <w:rtl/>
              </w:rPr>
              <w:t xml:space="preserve">לפני </w:t>
            </w:r>
          </w:p>
          <w:p w:rsidR="00E4655B" w:rsidRPr="00E4655B" w:rsidRDefault="00E4655B" w:rsidP="00E4655B">
            <w:pPr>
              <w:jc w:val="left"/>
              <w:rPr>
                <w:rFonts w:ascii="Arial (W1)" w:hAnsi="Arial (W1)" w:cs="David"/>
                <w:b/>
                <w:bCs/>
                <w:noProof/>
                <w:sz w:val="28"/>
                <w:szCs w:val="28"/>
              </w:rPr>
            </w:pPr>
          </w:p>
        </w:tc>
        <w:tc>
          <w:tcPr>
            <w:tcW w:w="7510" w:type="dxa"/>
            <w:gridSpan w:val="2"/>
            <w:hideMark/>
          </w:tcPr>
          <w:p w:rsidR="00E4655B" w:rsidRPr="00E4655B" w:rsidRDefault="00E4655B" w:rsidP="00E4655B">
            <w:pPr>
              <w:jc w:val="left"/>
              <w:rPr>
                <w:rFonts w:ascii="Arial" w:hAnsi="Arial" w:cs="David"/>
                <w:b/>
                <w:bCs/>
                <w:noProof/>
                <w:sz w:val="24"/>
                <w:szCs w:val="24"/>
              </w:rPr>
            </w:pPr>
            <w:r w:rsidRPr="00E4655B">
              <w:rPr>
                <w:rFonts w:ascii="Arial" w:hAnsi="Arial" w:cs="David"/>
                <w:b/>
                <w:bCs/>
                <w:noProof/>
                <w:sz w:val="24"/>
                <w:szCs w:val="24"/>
                <w:rtl/>
              </w:rPr>
              <w:t>כבוד ה</w:t>
            </w:r>
            <w:sdt>
              <w:sdtPr>
                <w:rPr>
                  <w:rFonts w:cs="David"/>
                  <w:b/>
                  <w:bCs/>
                  <w:noProof/>
                  <w:sz w:val="24"/>
                  <w:szCs w:val="24"/>
                  <w:rtl/>
                </w:rPr>
                <w:alias w:val="1574"/>
                <w:tag w:val="1574"/>
                <w:id w:val="-868990752"/>
                <w:text w:multiLine="1"/>
              </w:sdtPr>
              <w:sdtEndPr/>
              <w:sdtContent>
                <w:r w:rsidRPr="00E4655B">
                  <w:rPr>
                    <w:rFonts w:cs="David"/>
                    <w:b/>
                    <w:bCs/>
                    <w:noProof/>
                    <w:sz w:val="24"/>
                    <w:szCs w:val="24"/>
                    <w:rtl/>
                  </w:rPr>
                  <w:t>שופטת</w:t>
                </w:r>
              </w:sdtContent>
            </w:sdt>
            <w:r w:rsidRPr="00E4655B">
              <w:rPr>
                <w:rFonts w:ascii="Arial" w:hAnsi="Arial" w:cs="David"/>
                <w:b/>
                <w:bCs/>
                <w:noProof/>
                <w:sz w:val="24"/>
                <w:szCs w:val="24"/>
                <w:rtl/>
              </w:rPr>
              <w:t xml:space="preserve">  </w:t>
            </w:r>
            <w:sdt>
              <w:sdtPr>
                <w:rPr>
                  <w:rFonts w:cs="David"/>
                  <w:b/>
                  <w:bCs/>
                  <w:noProof/>
                  <w:sz w:val="24"/>
                  <w:szCs w:val="24"/>
                  <w:rtl/>
                </w:rPr>
                <w:alias w:val="1573"/>
                <w:tag w:val="1573"/>
                <w:id w:val="407734867"/>
                <w:text w:multiLine="1"/>
              </w:sdtPr>
              <w:sdtEndPr/>
              <w:sdtContent>
                <w:r w:rsidRPr="00E4655B">
                  <w:rPr>
                    <w:rFonts w:cs="David"/>
                    <w:b/>
                    <w:bCs/>
                    <w:noProof/>
                    <w:sz w:val="24"/>
                    <w:szCs w:val="24"/>
                    <w:rtl/>
                  </w:rPr>
                  <w:t>עידית בן-דב ג'וליאן</w:t>
                </w:r>
              </w:sdtContent>
            </w:sdt>
          </w:p>
        </w:tc>
      </w:tr>
      <w:tr w:rsidR="00E4655B" w:rsidRPr="00E4655B" w:rsidTr="00E4655B">
        <w:trPr>
          <w:jc w:val="center"/>
        </w:trPr>
        <w:tc>
          <w:tcPr>
            <w:tcW w:w="3249" w:type="dxa"/>
            <w:gridSpan w:val="2"/>
          </w:tcPr>
          <w:p w:rsidR="00E4655B" w:rsidRPr="00E4655B" w:rsidRDefault="00E4655B" w:rsidP="00E4655B">
            <w:pPr>
              <w:jc w:val="left"/>
              <w:rPr>
                <w:rFonts w:ascii="Arial (W1)" w:hAnsi="Arial (W1)" w:cs="David"/>
                <w:b/>
                <w:bCs/>
                <w:sz w:val="28"/>
                <w:szCs w:val="28"/>
                <w:rtl/>
              </w:rPr>
            </w:pPr>
          </w:p>
          <w:p w:rsidR="00E4655B" w:rsidRPr="00E4655B" w:rsidRDefault="00E4655B" w:rsidP="00E4655B">
            <w:pPr>
              <w:jc w:val="left"/>
              <w:rPr>
                <w:rFonts w:ascii="Arial (W1)" w:hAnsi="Arial (W1)" w:cs="David"/>
                <w:b/>
                <w:bCs/>
                <w:sz w:val="28"/>
                <w:szCs w:val="28"/>
                <w:rtl/>
              </w:rPr>
            </w:pPr>
            <w:r>
              <w:rPr>
                <w:rFonts w:cs="David" w:hint="cs"/>
                <w:b/>
                <w:bCs/>
                <w:noProof/>
                <w:sz w:val="24"/>
                <w:szCs w:val="24"/>
                <w:rtl/>
              </w:rPr>
              <w:t>מ</w:t>
            </w:r>
            <w:r w:rsidRPr="00E4655B">
              <w:rPr>
                <w:rFonts w:cs="David"/>
                <w:b/>
                <w:bCs/>
                <w:noProof/>
                <w:sz w:val="24"/>
                <w:szCs w:val="24"/>
                <w:rtl/>
              </w:rPr>
              <w:t>ערער</w:t>
            </w:r>
          </w:p>
        </w:tc>
        <w:tc>
          <w:tcPr>
            <w:tcW w:w="5004" w:type="dxa"/>
          </w:tcPr>
          <w:p w:rsidR="00E4655B" w:rsidRPr="00E4655B" w:rsidRDefault="00E4655B" w:rsidP="00E4655B">
            <w:pPr>
              <w:jc w:val="left"/>
              <w:rPr>
                <w:rFonts w:ascii="Arial (W1)" w:hAnsi="Arial (W1)" w:cs="David"/>
                <w:b/>
                <w:bCs/>
                <w:sz w:val="28"/>
                <w:szCs w:val="28"/>
              </w:rPr>
            </w:pPr>
          </w:p>
          <w:p w:rsidR="00E4655B" w:rsidRDefault="00E4655B" w:rsidP="00E4655B">
            <w:pPr>
              <w:jc w:val="left"/>
              <w:rPr>
                <w:rFonts w:cs="David"/>
                <w:b/>
                <w:bCs/>
                <w:sz w:val="28"/>
                <w:szCs w:val="24"/>
                <w:rtl/>
              </w:rPr>
            </w:pPr>
            <w:r w:rsidRPr="00E4655B">
              <w:rPr>
                <w:rFonts w:cs="David"/>
                <w:b/>
                <w:bCs/>
                <w:sz w:val="28"/>
                <w:szCs w:val="24"/>
                <w:rtl/>
              </w:rPr>
              <w:t>ש</w:t>
            </w:r>
            <w:r>
              <w:rPr>
                <w:rFonts w:cs="David" w:hint="cs"/>
                <w:b/>
                <w:bCs/>
                <w:sz w:val="28"/>
                <w:szCs w:val="24"/>
                <w:rtl/>
              </w:rPr>
              <w:t xml:space="preserve">. כ. </w:t>
            </w:r>
            <w:r w:rsidRPr="00E4655B">
              <w:rPr>
                <w:rFonts w:cs="David"/>
                <w:b/>
                <w:bCs/>
                <w:sz w:val="28"/>
                <w:szCs w:val="24"/>
                <w:rtl/>
              </w:rPr>
              <w:t xml:space="preserve"> </w:t>
            </w:r>
          </w:p>
          <w:p w:rsidR="00E4655B" w:rsidRPr="00E4655B" w:rsidRDefault="00E4655B" w:rsidP="00E4655B">
            <w:pPr>
              <w:jc w:val="left"/>
              <w:rPr>
                <w:rFonts w:ascii="Arial (W1)" w:hAnsi="Arial (W1)" w:cs="David"/>
                <w:b/>
                <w:bCs/>
                <w:sz w:val="28"/>
                <w:szCs w:val="28"/>
                <w:rtl/>
              </w:rPr>
            </w:pPr>
            <w:r w:rsidRPr="00E4655B">
              <w:rPr>
                <w:rFonts w:ascii="Arial" w:hAnsi="Arial" w:cs="David"/>
                <w:b/>
                <w:bCs/>
                <w:sz w:val="26"/>
                <w:szCs w:val="26"/>
                <w:rtl/>
              </w:rPr>
              <w:t>ע"י ב"כ עו"ד</w:t>
            </w:r>
            <w:r>
              <w:rPr>
                <w:rFonts w:ascii="Arial" w:hAnsi="Arial" w:cs="David" w:hint="cs"/>
                <w:b/>
                <w:bCs/>
                <w:sz w:val="26"/>
                <w:szCs w:val="26"/>
                <w:rtl/>
              </w:rPr>
              <w:t xml:space="preserve"> יעל חיון</w:t>
            </w:r>
          </w:p>
        </w:tc>
      </w:tr>
      <w:tr w:rsidR="00E4655B" w:rsidRPr="00E4655B" w:rsidTr="00E4655B">
        <w:trPr>
          <w:jc w:val="center"/>
        </w:trPr>
        <w:tc>
          <w:tcPr>
            <w:tcW w:w="8253" w:type="dxa"/>
            <w:gridSpan w:val="3"/>
          </w:tcPr>
          <w:p w:rsidR="00E4655B" w:rsidRPr="00E4655B" w:rsidRDefault="00E4655B" w:rsidP="00E4655B">
            <w:pPr>
              <w:jc w:val="left"/>
              <w:rPr>
                <w:rFonts w:ascii="Arial (W1)" w:hAnsi="Arial (W1)" w:cs="David"/>
                <w:b/>
                <w:bCs/>
                <w:sz w:val="28"/>
                <w:szCs w:val="28"/>
              </w:rPr>
            </w:pPr>
          </w:p>
          <w:p w:rsidR="00E4655B" w:rsidRPr="00E4655B" w:rsidRDefault="00E4655B" w:rsidP="00E4655B">
            <w:pPr>
              <w:jc w:val="center"/>
              <w:rPr>
                <w:rFonts w:cs="David"/>
                <w:b/>
                <w:bCs/>
                <w:sz w:val="28"/>
                <w:szCs w:val="24"/>
                <w:rtl/>
              </w:rPr>
            </w:pPr>
            <w:r w:rsidRPr="00E4655B">
              <w:rPr>
                <w:rFonts w:cs="David"/>
                <w:b/>
                <w:bCs/>
                <w:sz w:val="28"/>
                <w:szCs w:val="24"/>
                <w:rtl/>
              </w:rPr>
              <w:t>נגד</w:t>
            </w:r>
          </w:p>
          <w:p w:rsidR="00E4655B" w:rsidRPr="00E4655B" w:rsidRDefault="00E4655B" w:rsidP="00E4655B">
            <w:pPr>
              <w:jc w:val="left"/>
              <w:rPr>
                <w:rFonts w:ascii="Arial (W1)" w:hAnsi="Arial (W1)" w:cs="David"/>
                <w:b/>
                <w:bCs/>
                <w:sz w:val="28"/>
                <w:szCs w:val="28"/>
                <w:rtl/>
              </w:rPr>
            </w:pPr>
          </w:p>
        </w:tc>
      </w:tr>
      <w:tr w:rsidR="00E4655B" w:rsidRPr="00E4655B" w:rsidTr="00E4655B">
        <w:trPr>
          <w:jc w:val="center"/>
        </w:trPr>
        <w:tc>
          <w:tcPr>
            <w:tcW w:w="3249" w:type="dxa"/>
            <w:gridSpan w:val="2"/>
          </w:tcPr>
          <w:p w:rsidR="00E4655B" w:rsidRPr="00E4655B" w:rsidRDefault="00E4655B" w:rsidP="00E4655B">
            <w:pPr>
              <w:jc w:val="left"/>
              <w:rPr>
                <w:rFonts w:ascii="Arial (W1)" w:hAnsi="Arial (W1)" w:cs="David"/>
                <w:b/>
                <w:bCs/>
                <w:sz w:val="28"/>
                <w:szCs w:val="28"/>
              </w:rPr>
            </w:pPr>
          </w:p>
          <w:p w:rsidR="00E4655B" w:rsidRPr="00E4655B" w:rsidRDefault="00E4655B" w:rsidP="00E4655B">
            <w:pPr>
              <w:jc w:val="left"/>
              <w:rPr>
                <w:rFonts w:ascii="Arial (W1)" w:hAnsi="Arial (W1)" w:cs="David"/>
                <w:b/>
                <w:bCs/>
                <w:sz w:val="28"/>
                <w:szCs w:val="28"/>
                <w:rtl/>
              </w:rPr>
            </w:pPr>
            <w:r w:rsidRPr="00E4655B">
              <w:rPr>
                <w:rFonts w:cs="David"/>
                <w:b/>
                <w:bCs/>
                <w:noProof/>
                <w:sz w:val="24"/>
                <w:szCs w:val="24"/>
                <w:rtl/>
              </w:rPr>
              <w:t>משיב</w:t>
            </w:r>
            <w:r>
              <w:rPr>
                <w:rFonts w:ascii="Arial (W1)" w:hAnsi="Arial (W1)" w:cs="David" w:hint="cs"/>
                <w:b/>
                <w:bCs/>
                <w:sz w:val="28"/>
                <w:szCs w:val="28"/>
                <w:rtl/>
              </w:rPr>
              <w:t>ה</w:t>
            </w:r>
          </w:p>
        </w:tc>
        <w:tc>
          <w:tcPr>
            <w:tcW w:w="5004" w:type="dxa"/>
          </w:tcPr>
          <w:p w:rsidR="00E4655B" w:rsidRPr="00E4655B" w:rsidRDefault="00E4655B" w:rsidP="00E4655B">
            <w:pPr>
              <w:jc w:val="left"/>
              <w:rPr>
                <w:rFonts w:ascii="Arial (W1)" w:hAnsi="Arial (W1)" w:cs="David"/>
                <w:b/>
                <w:bCs/>
                <w:sz w:val="28"/>
                <w:szCs w:val="28"/>
              </w:rPr>
            </w:pPr>
          </w:p>
          <w:p w:rsidR="00E4655B" w:rsidRPr="00E4655B" w:rsidRDefault="00E4655B" w:rsidP="00E4655B">
            <w:pPr>
              <w:jc w:val="left"/>
              <w:rPr>
                <w:rFonts w:ascii="Arial (W1)" w:hAnsi="Arial (W1)" w:cs="David"/>
                <w:b/>
                <w:bCs/>
                <w:sz w:val="28"/>
                <w:szCs w:val="28"/>
                <w:rtl/>
              </w:rPr>
            </w:pPr>
            <w:r w:rsidRPr="00E4655B">
              <w:rPr>
                <w:rFonts w:cs="David"/>
                <w:b/>
                <w:bCs/>
                <w:sz w:val="28"/>
                <w:szCs w:val="24"/>
                <w:rtl/>
              </w:rPr>
              <w:t>ו</w:t>
            </w:r>
            <w:r>
              <w:rPr>
                <w:rFonts w:cs="David" w:hint="cs"/>
                <w:b/>
                <w:bCs/>
                <w:sz w:val="28"/>
                <w:szCs w:val="24"/>
                <w:rtl/>
              </w:rPr>
              <w:t xml:space="preserve">. ב. </w:t>
            </w:r>
          </w:p>
        </w:tc>
      </w:tr>
    </w:tbl>
    <w:p w:rsidR="00F530AD" w:rsidRPr="00F530AD" w:rsidRDefault="00F530AD" w:rsidP="00E4655B">
      <w:pPr>
        <w:spacing w:after="0" w:line="360" w:lineRule="auto"/>
        <w:jc w:val="center"/>
        <w:rPr>
          <w:rFonts w:ascii="Arial" w:eastAsia="David" w:hAnsi="Arial" w:cs="David"/>
          <w:b/>
          <w:bCs/>
          <w:sz w:val="24"/>
          <w:szCs w:val="24"/>
          <w:u w:val="single"/>
          <w:rtl/>
        </w:rPr>
      </w:pPr>
    </w:p>
    <w:p w:rsidR="00E4655B" w:rsidRPr="00E4655B" w:rsidRDefault="00E4655B" w:rsidP="00E4655B">
      <w:pPr>
        <w:spacing w:after="0" w:line="360" w:lineRule="auto"/>
        <w:jc w:val="center"/>
        <w:rPr>
          <w:rFonts w:ascii="Arial" w:eastAsia="David" w:hAnsi="Arial" w:cs="David"/>
          <w:b/>
          <w:bCs/>
          <w:sz w:val="32"/>
          <w:szCs w:val="32"/>
          <w:u w:val="single"/>
          <w:rtl/>
        </w:rPr>
      </w:pPr>
      <w:r w:rsidRPr="00E4655B">
        <w:rPr>
          <w:rFonts w:ascii="Arial" w:eastAsia="David" w:hAnsi="Arial" w:cs="David"/>
          <w:b/>
          <w:bCs/>
          <w:sz w:val="32"/>
          <w:szCs w:val="32"/>
          <w:u w:val="single"/>
          <w:rtl/>
        </w:rPr>
        <w:t>פסק דין</w:t>
      </w:r>
    </w:p>
    <w:p w:rsidR="00E4655B" w:rsidRPr="00E4655B" w:rsidRDefault="00E4655B" w:rsidP="00E4655B">
      <w:pPr>
        <w:spacing w:after="0" w:line="360" w:lineRule="auto"/>
        <w:jc w:val="both"/>
        <w:rPr>
          <w:rFonts w:ascii="David" w:eastAsia="David" w:hAnsi="David" w:cs="David"/>
          <w:sz w:val="24"/>
          <w:szCs w:val="24"/>
        </w:rPr>
      </w:pPr>
    </w:p>
    <w:p w:rsidR="00E4655B" w:rsidRPr="00E4655B" w:rsidRDefault="00E4655B" w:rsidP="00E4655B">
      <w:pPr>
        <w:spacing w:after="0" w:line="360" w:lineRule="auto"/>
        <w:jc w:val="both"/>
        <w:rPr>
          <w:rFonts w:ascii="David" w:eastAsia="David" w:hAnsi="David" w:cs="David"/>
          <w:sz w:val="24"/>
          <w:szCs w:val="24"/>
          <w:rtl/>
        </w:rPr>
      </w:pPr>
      <w:r w:rsidRPr="00E4655B">
        <w:rPr>
          <w:rFonts w:ascii="David" w:eastAsia="David" w:hAnsi="David" w:cs="David"/>
          <w:sz w:val="24"/>
          <w:szCs w:val="24"/>
          <w:rtl/>
        </w:rPr>
        <w:t xml:space="preserve">לפניי ערעור על החלטת רשמת ההוצל"פ במסלול מזונות (כב' הרשמת גילה גדות) מיום 18.3.24 בה נדחתה בקשת המערער לעיון מחדש בהחלטה קודמת שלה מיום 19.1.24 בה נדחתה על הסף בקשתו בטענת פרעתי לגבי תשלומים ששולמו על ידו על פי הנטען כשנתיים ומעלה עובר להגשת הבקשה. </w:t>
      </w:r>
    </w:p>
    <w:p w:rsidR="00E4655B" w:rsidRPr="00E4655B" w:rsidRDefault="00E4655B" w:rsidP="00E4655B">
      <w:pPr>
        <w:spacing w:after="0" w:line="360" w:lineRule="auto"/>
        <w:jc w:val="both"/>
        <w:rPr>
          <w:rFonts w:ascii="David" w:eastAsia="David" w:hAnsi="David" w:cs="David"/>
          <w:sz w:val="24"/>
          <w:szCs w:val="24"/>
          <w:rtl/>
        </w:rPr>
      </w:pPr>
      <w:r w:rsidRPr="00E4655B">
        <w:rPr>
          <w:rFonts w:ascii="David" w:eastAsia="David" w:hAnsi="David" w:cs="David"/>
          <w:sz w:val="24"/>
          <w:szCs w:val="24"/>
          <w:rtl/>
        </w:rPr>
        <w:t xml:space="preserve">בהחלטה נשוא הערעור נקבע: </w:t>
      </w:r>
    </w:p>
    <w:p w:rsidR="00E4655B" w:rsidRPr="00E4655B" w:rsidRDefault="00E4655B" w:rsidP="00E4655B">
      <w:pPr>
        <w:tabs>
          <w:tab w:val="left" w:pos="1133"/>
        </w:tabs>
        <w:spacing w:after="0" w:line="240" w:lineRule="auto"/>
        <w:ind w:left="1133" w:right="567"/>
        <w:jc w:val="both"/>
        <w:rPr>
          <w:rFonts w:ascii="David" w:eastAsia="David" w:hAnsi="David" w:cs="David"/>
          <w:b/>
          <w:bCs/>
          <w:sz w:val="24"/>
          <w:szCs w:val="24"/>
          <w:rtl/>
        </w:rPr>
      </w:pPr>
      <w:r w:rsidRPr="00E4655B">
        <w:rPr>
          <w:rFonts w:ascii="David" w:eastAsia="David" w:hAnsi="David" w:cs="David"/>
          <w:b/>
          <w:bCs/>
          <w:sz w:val="24"/>
          <w:szCs w:val="24"/>
          <w:rtl/>
        </w:rPr>
        <w:lastRenderedPageBreak/>
        <w:t xml:space="preserve">"הבקשה הוגשה בינואר 2024 ועל כן החייב רשאי להגיש את טיעוניו על תשלומים רק על תשלומים ששילם החל מינואר 2022 והלאה... </w:t>
      </w:r>
    </w:p>
    <w:p w:rsidR="00E4655B" w:rsidRPr="00E4655B" w:rsidRDefault="00E4655B" w:rsidP="00E4655B">
      <w:pPr>
        <w:tabs>
          <w:tab w:val="left" w:pos="1133"/>
        </w:tabs>
        <w:spacing w:after="0" w:line="240" w:lineRule="auto"/>
        <w:ind w:left="1133" w:right="567"/>
        <w:jc w:val="both"/>
        <w:rPr>
          <w:rFonts w:ascii="David" w:eastAsia="David" w:hAnsi="David" w:cs="David"/>
          <w:b/>
          <w:bCs/>
          <w:sz w:val="24"/>
          <w:szCs w:val="24"/>
          <w:rtl/>
        </w:rPr>
      </w:pPr>
      <w:r w:rsidRPr="00E4655B">
        <w:rPr>
          <w:rFonts w:ascii="David" w:eastAsia="David" w:hAnsi="David" w:cs="David"/>
          <w:b/>
          <w:bCs/>
          <w:sz w:val="24"/>
          <w:szCs w:val="24"/>
          <w:rtl/>
        </w:rPr>
        <w:t>עוד אומר, כי אין מדובר ב"דחייה הרמטית", ככל שהחייב עומד על טענת "פרעתי" לתקופה שבין אוגוסט 2021 ועד ינואר 2022 (סה"כ מדובר על טווח של כחצי שנה, לערך) באפשרותו לפנות לערכאות משפטיות על מנת שיאשרו לו זאת".</w:t>
      </w:r>
    </w:p>
    <w:p w:rsidR="00E4655B" w:rsidRPr="00E4655B" w:rsidRDefault="00E4655B" w:rsidP="00E4655B">
      <w:pPr>
        <w:spacing w:after="0" w:line="360" w:lineRule="auto"/>
        <w:jc w:val="both"/>
        <w:rPr>
          <w:rFonts w:ascii="David" w:eastAsia="David" w:hAnsi="David" w:cs="David"/>
          <w:sz w:val="24"/>
          <w:szCs w:val="24"/>
          <w:rtl/>
        </w:rPr>
      </w:pPr>
    </w:p>
    <w:p w:rsidR="00E4655B" w:rsidRPr="00E4655B" w:rsidRDefault="00E4655B" w:rsidP="00E4655B">
      <w:pPr>
        <w:spacing w:after="0" w:line="360" w:lineRule="auto"/>
        <w:jc w:val="both"/>
        <w:rPr>
          <w:rFonts w:ascii="David" w:eastAsia="David" w:hAnsi="David" w:cs="David"/>
          <w:sz w:val="24"/>
          <w:szCs w:val="24"/>
          <w:rtl/>
        </w:rPr>
      </w:pPr>
      <w:r w:rsidRPr="00E4655B">
        <w:rPr>
          <w:rFonts w:ascii="David" w:eastAsia="David" w:hAnsi="David" w:cs="David"/>
          <w:sz w:val="24"/>
          <w:szCs w:val="24"/>
          <w:rtl/>
        </w:rPr>
        <w:t xml:space="preserve">לטענת המערער שגתה כב' הרשמת כאשר דחתה את בקשתו בטענת פרעתי ללא דיון ומטעות משפטית. </w:t>
      </w:r>
    </w:p>
    <w:p w:rsidR="00E4655B" w:rsidRPr="00E4655B" w:rsidRDefault="00E4655B" w:rsidP="00E4655B">
      <w:pPr>
        <w:spacing w:after="0" w:line="360" w:lineRule="auto"/>
        <w:jc w:val="both"/>
        <w:rPr>
          <w:rFonts w:ascii="David" w:eastAsia="David" w:hAnsi="David" w:cs="David"/>
          <w:sz w:val="24"/>
          <w:szCs w:val="24"/>
          <w:rtl/>
        </w:rPr>
      </w:pPr>
      <w:r w:rsidRPr="00E4655B">
        <w:rPr>
          <w:rFonts w:ascii="David" w:eastAsia="David" w:hAnsi="David" w:cs="David"/>
          <w:sz w:val="24"/>
          <w:szCs w:val="24"/>
          <w:rtl/>
        </w:rPr>
        <w:t>הערעור נמסר למשיבה ביום 2.5.24 כדין, כעולה מאישור מסירה בתיק.</w:t>
      </w:r>
    </w:p>
    <w:p w:rsidR="00E4655B" w:rsidRPr="00E4655B" w:rsidRDefault="00E4655B" w:rsidP="00E4655B">
      <w:pPr>
        <w:spacing w:after="0" w:line="360" w:lineRule="auto"/>
        <w:jc w:val="both"/>
        <w:rPr>
          <w:rFonts w:ascii="David" w:eastAsia="David" w:hAnsi="David" w:cs="David"/>
          <w:sz w:val="24"/>
          <w:szCs w:val="24"/>
          <w:rtl/>
        </w:rPr>
      </w:pPr>
      <w:r w:rsidRPr="00E4655B">
        <w:rPr>
          <w:rFonts w:ascii="David" w:eastAsia="David" w:hAnsi="David" w:cs="David"/>
          <w:sz w:val="24"/>
          <w:szCs w:val="24"/>
          <w:rtl/>
        </w:rPr>
        <w:t xml:space="preserve">המשיבה בחרה שלא להגיש תגובה לערעור. המשיבה לא התייצבה לדיון היום. </w:t>
      </w:r>
    </w:p>
    <w:p w:rsidR="00E4655B" w:rsidRPr="00E4655B" w:rsidRDefault="00E4655B" w:rsidP="00E4655B">
      <w:pPr>
        <w:spacing w:after="0" w:line="360" w:lineRule="auto"/>
        <w:jc w:val="both"/>
        <w:rPr>
          <w:rFonts w:ascii="David" w:eastAsia="David" w:hAnsi="David" w:cs="David"/>
          <w:b/>
          <w:bCs/>
          <w:sz w:val="24"/>
          <w:szCs w:val="24"/>
          <w:u w:val="single"/>
          <w:rtl/>
        </w:rPr>
      </w:pPr>
      <w:r w:rsidRPr="00E4655B">
        <w:rPr>
          <w:rFonts w:ascii="David" w:eastAsia="David" w:hAnsi="David" w:cs="David"/>
          <w:b/>
          <w:bCs/>
          <w:sz w:val="24"/>
          <w:szCs w:val="24"/>
          <w:u w:val="single"/>
          <w:rtl/>
        </w:rPr>
        <w:t>לאחר שנדרשתי לטענות המערער ובהעדר תגובת המשיבה אני מוצאת לקבל את הערעור, ואנמק</w:t>
      </w:r>
    </w:p>
    <w:p w:rsidR="00E4655B" w:rsidRPr="00E4655B" w:rsidRDefault="00E4655B" w:rsidP="00E4655B">
      <w:pPr>
        <w:spacing w:after="0" w:line="360" w:lineRule="auto"/>
        <w:jc w:val="both"/>
        <w:rPr>
          <w:rFonts w:ascii="David" w:eastAsia="David" w:hAnsi="David" w:cs="David"/>
          <w:sz w:val="24"/>
          <w:szCs w:val="24"/>
          <w:rtl/>
        </w:rPr>
      </w:pPr>
      <w:r w:rsidRPr="00E4655B">
        <w:rPr>
          <w:rFonts w:ascii="David" w:eastAsia="David" w:hAnsi="David" w:cs="David"/>
          <w:sz w:val="24"/>
          <w:szCs w:val="24"/>
          <w:rtl/>
        </w:rPr>
        <w:t xml:space="preserve">סעיף 19(א) לחוק ההוצל"פ קובע כי חייב שטוען שמילא אחר פסק הדין המבוצע או שלא חייב עוד למלא אחריו, כולו או מקצתו, עליו הראייה. אין בסעיף זה או בחוק ההוצל"פ הוראה המגבילה את זכותו של חייב להגיש בקשה בטענת פרעתי, במועד הגשתה או ביחס לתקופה בה נטענת. </w:t>
      </w:r>
    </w:p>
    <w:p w:rsidR="00E4655B" w:rsidRPr="00E4655B" w:rsidRDefault="00E4655B" w:rsidP="00E4655B">
      <w:pPr>
        <w:spacing w:after="0" w:line="360" w:lineRule="auto"/>
        <w:jc w:val="both"/>
        <w:rPr>
          <w:rFonts w:ascii="David" w:eastAsia="David" w:hAnsi="David" w:cs="David"/>
          <w:sz w:val="24"/>
          <w:szCs w:val="24"/>
          <w:rtl/>
        </w:rPr>
      </w:pPr>
      <w:r w:rsidRPr="00E4655B">
        <w:rPr>
          <w:rFonts w:ascii="David" w:eastAsia="David" w:hAnsi="David" w:cs="David"/>
          <w:sz w:val="24"/>
          <w:szCs w:val="24"/>
          <w:rtl/>
        </w:rPr>
        <w:lastRenderedPageBreak/>
        <w:t>מתוך כך דחייה על הסף של בקשה בטענת פרעתי בנימוק שלא ניתן להגישה לתקופה העולה על שנתיים טרם הגשתה על פניו פוגעת בזכות החייב לגישה לערכאות, שלא על יסוד הוראה שבדין.</w:t>
      </w:r>
    </w:p>
    <w:p w:rsidR="00E4655B" w:rsidRPr="00E4655B" w:rsidRDefault="00E4655B" w:rsidP="00E4655B">
      <w:pPr>
        <w:spacing w:after="0" w:line="360" w:lineRule="auto"/>
        <w:jc w:val="both"/>
        <w:rPr>
          <w:rFonts w:ascii="David" w:eastAsia="David" w:hAnsi="David" w:cs="David"/>
          <w:sz w:val="24"/>
          <w:szCs w:val="24"/>
          <w:rtl/>
        </w:rPr>
      </w:pPr>
      <w:r w:rsidRPr="00E4655B">
        <w:rPr>
          <w:rFonts w:ascii="David" w:eastAsia="David" w:hAnsi="David" w:cs="David"/>
          <w:sz w:val="24"/>
          <w:szCs w:val="24"/>
          <w:rtl/>
        </w:rPr>
        <w:t xml:space="preserve">הפניית החייב לבית משפט לעתור לאישור הגשת בקשה בטענת פרעתי לתקופה העולה על שנתיים קודם הגשתה, מתוך גזירה שווה לקבוע בסעיף 11ב לחוק לתיקון דיני המשפחה (מזונות) התשי"ט-1959 - אינה מעוגנת משפטית. </w:t>
      </w:r>
    </w:p>
    <w:p w:rsidR="00E4655B" w:rsidRPr="00E4655B" w:rsidRDefault="00E4655B" w:rsidP="00E4655B">
      <w:pPr>
        <w:spacing w:after="0" w:line="360" w:lineRule="auto"/>
        <w:jc w:val="both"/>
        <w:rPr>
          <w:rFonts w:ascii="David" w:eastAsia="David" w:hAnsi="David" w:cs="David"/>
          <w:sz w:val="24"/>
          <w:szCs w:val="24"/>
          <w:rtl/>
        </w:rPr>
      </w:pPr>
      <w:r w:rsidRPr="00E4655B">
        <w:rPr>
          <w:rFonts w:ascii="David" w:eastAsia="David" w:hAnsi="David" w:cs="David"/>
          <w:sz w:val="24"/>
          <w:szCs w:val="24"/>
          <w:rtl/>
        </w:rPr>
        <w:t xml:space="preserve">הוראת סעיף 11ב  לחוק המזונות מגבילה אפשרות זוכה להגשת בקשה לביצוע פסק דין לתקופה העולה על שנתיים קודם הגשת הבקשה, ואינה מתייחסת לחייב הטוען כי קיים את פסק הדין ופרע תשלומים בגינם הוגדלה קרן החוב. </w:t>
      </w:r>
    </w:p>
    <w:p w:rsidR="00E4655B" w:rsidRPr="00E4655B" w:rsidRDefault="00E4655B" w:rsidP="00E4655B">
      <w:pPr>
        <w:spacing w:after="0" w:line="360" w:lineRule="auto"/>
        <w:jc w:val="both"/>
        <w:rPr>
          <w:rFonts w:ascii="David" w:eastAsia="David" w:hAnsi="David" w:cs="David"/>
          <w:sz w:val="24"/>
          <w:szCs w:val="24"/>
          <w:rtl/>
        </w:rPr>
      </w:pPr>
      <w:r w:rsidRPr="00E4655B">
        <w:rPr>
          <w:rFonts w:ascii="David" w:eastAsia="David" w:hAnsi="David" w:cs="David"/>
          <w:sz w:val="24"/>
          <w:szCs w:val="24"/>
          <w:rtl/>
        </w:rPr>
        <w:t>האיזון, בכל הנוגע לחייב הטוען פרעתי, הינו בנטל השכנוע בו עליו לעמוד ולהוכיח תשלומים ששילם בחלוף הזמן כמו גם הסיבה לשיהוי. זאת יש לברר במסגרת בקשה בהוצל"פ מכוח סעיף 19(א) לחוק ההוצל"פ.</w:t>
      </w:r>
    </w:p>
    <w:p w:rsidR="00E4655B" w:rsidRPr="00E4655B" w:rsidRDefault="00E4655B" w:rsidP="00E4655B">
      <w:pPr>
        <w:spacing w:after="0" w:line="360" w:lineRule="auto"/>
        <w:jc w:val="both"/>
        <w:rPr>
          <w:rFonts w:ascii="David" w:eastAsia="David" w:hAnsi="David" w:cs="David"/>
          <w:sz w:val="24"/>
          <w:szCs w:val="24"/>
          <w:rtl/>
        </w:rPr>
      </w:pPr>
      <w:r w:rsidRPr="00E4655B">
        <w:rPr>
          <w:rFonts w:ascii="David" w:eastAsia="David" w:hAnsi="David" w:cs="David"/>
          <w:sz w:val="24"/>
          <w:szCs w:val="24"/>
          <w:rtl/>
        </w:rPr>
        <w:t xml:space="preserve">לעניין זה ראו בהרחבה פסק דינה של חברתי, כב' השופטת אורית בן דור ליבל, מיום 27.3.22 (ע"ר 33839-02-22 </w:t>
      </w:r>
      <w:r w:rsidRPr="00E4655B">
        <w:rPr>
          <w:rFonts w:ascii="David" w:eastAsia="David" w:hAnsi="David" w:cs="David"/>
          <w:b/>
          <w:bCs/>
          <w:sz w:val="24"/>
          <w:szCs w:val="24"/>
          <w:u w:val="single"/>
          <w:rtl/>
        </w:rPr>
        <w:t>מ' נ' ל'</w:t>
      </w:r>
      <w:r w:rsidRPr="00E4655B">
        <w:rPr>
          <w:rFonts w:ascii="David" w:eastAsia="David" w:hAnsi="David" w:cs="David"/>
          <w:sz w:val="24"/>
          <w:szCs w:val="24"/>
          <w:rtl/>
        </w:rPr>
        <w:t xml:space="preserve">) והנימוקים שם. </w:t>
      </w:r>
    </w:p>
    <w:p w:rsidR="00E4655B" w:rsidRPr="00E4655B" w:rsidRDefault="00E4655B" w:rsidP="00E4655B">
      <w:pPr>
        <w:spacing w:after="0" w:line="360" w:lineRule="auto"/>
        <w:jc w:val="both"/>
        <w:rPr>
          <w:rFonts w:ascii="David" w:eastAsia="David" w:hAnsi="David" w:cs="David"/>
          <w:sz w:val="24"/>
          <w:szCs w:val="24"/>
          <w:rtl/>
        </w:rPr>
      </w:pPr>
      <w:r w:rsidRPr="00E4655B">
        <w:rPr>
          <w:rFonts w:ascii="David" w:eastAsia="David" w:hAnsi="David" w:cs="David"/>
          <w:sz w:val="24"/>
          <w:szCs w:val="24"/>
          <w:rtl/>
        </w:rPr>
        <w:lastRenderedPageBreak/>
        <w:t>עוד ראו לעניין זה הערת בית המשפט המחוזי בתל אביב, כב' השופט נפתלי שילה, ברמ"ש 64590-12-23</w:t>
      </w:r>
      <w:r w:rsidRPr="00E4655B">
        <w:rPr>
          <w:rFonts w:ascii="David" w:eastAsia="David" w:hAnsi="David" w:cs="David"/>
          <w:b/>
          <w:bCs/>
          <w:sz w:val="24"/>
          <w:szCs w:val="24"/>
          <w:rtl/>
        </w:rPr>
        <w:t xml:space="preserve"> </w:t>
      </w:r>
      <w:r w:rsidRPr="00E4655B">
        <w:rPr>
          <w:rFonts w:ascii="David" w:eastAsia="David" w:hAnsi="David" w:cs="David"/>
          <w:b/>
          <w:bCs/>
          <w:sz w:val="24"/>
          <w:szCs w:val="24"/>
          <w:u w:val="single"/>
          <w:rtl/>
        </w:rPr>
        <w:t>פלונית נ' פלוני</w:t>
      </w:r>
      <w:r w:rsidRPr="00E4655B">
        <w:rPr>
          <w:rFonts w:ascii="David" w:eastAsia="David" w:hAnsi="David" w:cs="David"/>
          <w:sz w:val="24"/>
          <w:szCs w:val="24"/>
          <w:rtl/>
        </w:rPr>
        <w:t xml:space="preserve"> (5.2.24) בסעיף 12 לפסק הדין.</w:t>
      </w:r>
    </w:p>
    <w:p w:rsidR="00E4655B" w:rsidRPr="00E4655B" w:rsidRDefault="00E4655B" w:rsidP="00E4655B">
      <w:pPr>
        <w:spacing w:after="0" w:line="360" w:lineRule="auto"/>
        <w:jc w:val="both"/>
        <w:rPr>
          <w:rFonts w:ascii="David" w:eastAsia="David" w:hAnsi="David" w:cs="David"/>
          <w:sz w:val="24"/>
          <w:szCs w:val="24"/>
          <w:rtl/>
        </w:rPr>
      </w:pPr>
      <w:r w:rsidRPr="00E4655B">
        <w:rPr>
          <w:rFonts w:ascii="David" w:eastAsia="David" w:hAnsi="David" w:cs="David"/>
          <w:sz w:val="24"/>
          <w:szCs w:val="24"/>
          <w:rtl/>
        </w:rPr>
        <w:t xml:space="preserve">אינני מתעלמת מכך שהנטען בערעור מתייחס מהותית להחלטת כב' הרשמת מיום 19.1.24, עליה לא הוגש ערעור, וכי הגשת בקשה לעיון חוזר אינה מאריכה את המועד להגשת ערעור על פי התקנות. </w:t>
      </w:r>
    </w:p>
    <w:p w:rsidR="00E4655B" w:rsidRPr="00E4655B" w:rsidRDefault="00E4655B" w:rsidP="00E4655B">
      <w:pPr>
        <w:spacing w:after="0" w:line="360" w:lineRule="auto"/>
        <w:jc w:val="both"/>
        <w:rPr>
          <w:rFonts w:ascii="David" w:eastAsia="David" w:hAnsi="David" w:cs="David"/>
          <w:sz w:val="24"/>
          <w:szCs w:val="24"/>
          <w:rtl/>
        </w:rPr>
      </w:pPr>
      <w:r w:rsidRPr="00E4655B">
        <w:rPr>
          <w:rFonts w:ascii="David" w:eastAsia="David" w:hAnsi="David" w:cs="David"/>
          <w:sz w:val="24"/>
          <w:szCs w:val="24"/>
          <w:rtl/>
        </w:rPr>
        <w:t xml:space="preserve">לצד זאת המשיבה בחרה שלא להתייחס לערעור, לא הגישה תשובה כנדרש ולמעשה לא התנגדה לערעור. </w:t>
      </w:r>
    </w:p>
    <w:p w:rsidR="00E4655B" w:rsidRPr="00E4655B" w:rsidRDefault="00E4655B" w:rsidP="00E4655B">
      <w:pPr>
        <w:spacing w:after="0" w:line="360" w:lineRule="auto"/>
        <w:jc w:val="both"/>
        <w:rPr>
          <w:rFonts w:ascii="David" w:eastAsia="David" w:hAnsi="David" w:cs="David"/>
          <w:sz w:val="24"/>
          <w:szCs w:val="24"/>
          <w:rtl/>
        </w:rPr>
      </w:pPr>
      <w:r w:rsidRPr="00E4655B">
        <w:rPr>
          <w:rFonts w:ascii="David" w:eastAsia="David" w:hAnsi="David" w:cs="David"/>
          <w:sz w:val="24"/>
          <w:szCs w:val="24"/>
          <w:rtl/>
        </w:rPr>
        <w:t xml:space="preserve">מעבר לכך בהחלטה מיום 19.1.24 הורתה כב' הרשמת למערער להגיש טבלה מסודרת, חדשה. במסגרת ההחלטה נשוא הערעור מיום 18.3.24 לאחר הבקשה לעיון מחדש, גם בה לא ניתנה התייחסות לבקשה בטענת פרעתי, המתייחסת למועדים שבתוך השנתיים עובר להגשת הבקשה. </w:t>
      </w:r>
    </w:p>
    <w:p w:rsidR="00E4655B" w:rsidRPr="00E4655B" w:rsidRDefault="00E4655B" w:rsidP="00E4655B">
      <w:pPr>
        <w:spacing w:after="0" w:line="360" w:lineRule="auto"/>
        <w:jc w:val="both"/>
        <w:rPr>
          <w:rFonts w:ascii="David" w:eastAsia="David" w:hAnsi="David" w:cs="David"/>
          <w:sz w:val="24"/>
          <w:szCs w:val="24"/>
          <w:rtl/>
        </w:rPr>
      </w:pPr>
      <w:r w:rsidRPr="00E4655B">
        <w:rPr>
          <w:rFonts w:ascii="David" w:eastAsia="David" w:hAnsi="David" w:cs="David"/>
          <w:sz w:val="24"/>
          <w:szCs w:val="24"/>
          <w:rtl/>
        </w:rPr>
        <w:t>אשר על כן נקבע:</w:t>
      </w:r>
    </w:p>
    <w:p w:rsidR="00E4655B" w:rsidRPr="00E4655B" w:rsidRDefault="00E4655B" w:rsidP="00E4655B">
      <w:pPr>
        <w:spacing w:after="0" w:line="360" w:lineRule="auto"/>
        <w:jc w:val="both"/>
        <w:rPr>
          <w:rFonts w:ascii="David" w:eastAsia="David" w:hAnsi="David" w:cs="David"/>
          <w:b/>
          <w:bCs/>
          <w:sz w:val="24"/>
          <w:szCs w:val="24"/>
          <w:rtl/>
        </w:rPr>
      </w:pPr>
      <w:r w:rsidRPr="00E4655B">
        <w:rPr>
          <w:rFonts w:ascii="David" w:eastAsia="David" w:hAnsi="David" w:cs="David"/>
          <w:b/>
          <w:bCs/>
          <w:sz w:val="24"/>
          <w:szCs w:val="24"/>
          <w:rtl/>
        </w:rPr>
        <w:t xml:space="preserve">הערעור מתקבל. </w:t>
      </w:r>
    </w:p>
    <w:p w:rsidR="00E4655B" w:rsidRPr="00E4655B" w:rsidRDefault="00E4655B" w:rsidP="00E4655B">
      <w:pPr>
        <w:spacing w:after="0" w:line="360" w:lineRule="auto"/>
        <w:jc w:val="both"/>
        <w:rPr>
          <w:rFonts w:ascii="David" w:eastAsia="David" w:hAnsi="David" w:cs="David"/>
          <w:b/>
          <w:bCs/>
          <w:sz w:val="24"/>
          <w:szCs w:val="24"/>
          <w:rtl/>
        </w:rPr>
      </w:pPr>
      <w:r w:rsidRPr="00E4655B">
        <w:rPr>
          <w:rFonts w:ascii="David" w:eastAsia="David" w:hAnsi="David" w:cs="David"/>
          <w:b/>
          <w:bCs/>
          <w:sz w:val="24"/>
          <w:szCs w:val="24"/>
          <w:rtl/>
        </w:rPr>
        <w:t xml:space="preserve">החלטת כב' הרשמת מיום 18.3.24 מבוטלת. </w:t>
      </w:r>
    </w:p>
    <w:p w:rsidR="00E4655B" w:rsidRPr="00E4655B" w:rsidRDefault="00E4655B" w:rsidP="00E4655B">
      <w:pPr>
        <w:spacing w:after="0" w:line="360" w:lineRule="auto"/>
        <w:jc w:val="both"/>
        <w:rPr>
          <w:rFonts w:ascii="David" w:eastAsia="David" w:hAnsi="David" w:cs="David"/>
          <w:b/>
          <w:bCs/>
          <w:sz w:val="24"/>
          <w:szCs w:val="24"/>
          <w:rtl/>
        </w:rPr>
      </w:pPr>
      <w:r w:rsidRPr="00E4655B">
        <w:rPr>
          <w:rFonts w:ascii="David" w:eastAsia="David" w:hAnsi="David" w:cs="David"/>
          <w:b/>
          <w:bCs/>
          <w:sz w:val="24"/>
          <w:szCs w:val="24"/>
          <w:rtl/>
        </w:rPr>
        <w:t xml:space="preserve">התיק מוחזר לכב' הרשמת אשר תדון ותכריע בבקשת המערער בטענת פרעתי לגופה. </w:t>
      </w:r>
    </w:p>
    <w:p w:rsidR="00E4655B" w:rsidRPr="00E4655B" w:rsidRDefault="00E4655B" w:rsidP="00E4655B">
      <w:pPr>
        <w:spacing w:after="0" w:line="360" w:lineRule="auto"/>
        <w:jc w:val="both"/>
        <w:rPr>
          <w:rFonts w:ascii="David" w:eastAsia="David" w:hAnsi="David" w:cs="David"/>
          <w:b/>
          <w:bCs/>
          <w:sz w:val="24"/>
          <w:szCs w:val="24"/>
          <w:rtl/>
        </w:rPr>
      </w:pPr>
      <w:r w:rsidRPr="00E4655B">
        <w:rPr>
          <w:rFonts w:ascii="David" w:eastAsia="David" w:hAnsi="David" w:cs="David"/>
          <w:b/>
          <w:bCs/>
          <w:sz w:val="24"/>
          <w:szCs w:val="24"/>
          <w:rtl/>
        </w:rPr>
        <w:t xml:space="preserve">על כב' הרשמת לקבל את תגובת הזוכה לבקשה. </w:t>
      </w:r>
    </w:p>
    <w:p w:rsidR="00E4655B" w:rsidRPr="00E4655B" w:rsidRDefault="00E4655B" w:rsidP="00E4655B">
      <w:pPr>
        <w:spacing w:after="0" w:line="360" w:lineRule="auto"/>
        <w:jc w:val="both"/>
        <w:rPr>
          <w:rFonts w:ascii="David" w:eastAsia="David" w:hAnsi="David" w:cs="David"/>
          <w:b/>
          <w:bCs/>
          <w:sz w:val="24"/>
          <w:szCs w:val="24"/>
          <w:rtl/>
        </w:rPr>
      </w:pPr>
      <w:r w:rsidRPr="00E4655B">
        <w:rPr>
          <w:rFonts w:ascii="David" w:eastAsia="David" w:hAnsi="David" w:cs="David"/>
          <w:b/>
          <w:bCs/>
          <w:sz w:val="24"/>
          <w:szCs w:val="24"/>
          <w:rtl/>
        </w:rPr>
        <w:lastRenderedPageBreak/>
        <w:t>ככל שיש מחלוקת עובדתית על כב' הרשמת לקיים דיון בבקשה לבחינת גרסאות הצדדים.</w:t>
      </w:r>
    </w:p>
    <w:p w:rsidR="00E4655B" w:rsidRPr="00E4655B" w:rsidRDefault="00E4655B" w:rsidP="00E4655B">
      <w:pPr>
        <w:spacing w:after="0" w:line="360" w:lineRule="auto"/>
        <w:jc w:val="both"/>
        <w:rPr>
          <w:rFonts w:ascii="David" w:eastAsia="David" w:hAnsi="David" w:cs="David"/>
          <w:b/>
          <w:bCs/>
          <w:sz w:val="24"/>
          <w:szCs w:val="24"/>
          <w:rtl/>
        </w:rPr>
      </w:pPr>
      <w:r w:rsidRPr="00E4655B">
        <w:rPr>
          <w:rFonts w:ascii="David" w:eastAsia="David" w:hAnsi="David" w:cs="David"/>
          <w:b/>
          <w:bCs/>
          <w:sz w:val="24"/>
          <w:szCs w:val="24"/>
          <w:rtl/>
        </w:rPr>
        <w:t xml:space="preserve">לאחר מכן תינתן החלטה מנומקת בבקשה על ידי כב' הרשמת על פי חוכמתה. </w:t>
      </w:r>
    </w:p>
    <w:p w:rsidR="00E4655B" w:rsidRPr="00E4655B" w:rsidRDefault="00E4655B" w:rsidP="00E4655B">
      <w:pPr>
        <w:spacing w:after="0" w:line="360" w:lineRule="auto"/>
        <w:jc w:val="both"/>
        <w:rPr>
          <w:rFonts w:ascii="David" w:eastAsia="David" w:hAnsi="David" w:cs="David"/>
          <w:sz w:val="24"/>
          <w:szCs w:val="24"/>
          <w:rtl/>
        </w:rPr>
      </w:pPr>
      <w:r w:rsidRPr="00E4655B">
        <w:rPr>
          <w:rFonts w:ascii="David" w:eastAsia="David" w:hAnsi="David" w:cs="David"/>
          <w:sz w:val="24"/>
          <w:szCs w:val="24"/>
          <w:rtl/>
        </w:rPr>
        <w:t xml:space="preserve">לא נמצא לפסוק הוצאות בהליך. </w:t>
      </w:r>
    </w:p>
    <w:p w:rsidR="00E4655B" w:rsidRPr="00E4655B" w:rsidRDefault="00E4655B" w:rsidP="00E4655B">
      <w:pPr>
        <w:spacing w:after="0" w:line="360" w:lineRule="auto"/>
        <w:jc w:val="both"/>
        <w:rPr>
          <w:rFonts w:ascii="David" w:eastAsia="David" w:hAnsi="David" w:cs="David"/>
          <w:sz w:val="24"/>
          <w:szCs w:val="24"/>
          <w:rtl/>
        </w:rPr>
      </w:pPr>
      <w:r w:rsidRPr="00E4655B">
        <w:rPr>
          <w:rFonts w:ascii="David" w:eastAsia="David" w:hAnsi="David" w:cs="David"/>
          <w:sz w:val="24"/>
          <w:szCs w:val="24"/>
          <w:rtl/>
        </w:rPr>
        <w:t>פסק הדין ניתן לפרסום ללא פרטים מזהים.</w:t>
      </w:r>
    </w:p>
    <w:p w:rsidR="00E4655B" w:rsidRPr="00E4655B" w:rsidRDefault="00E4655B" w:rsidP="00E4655B">
      <w:pPr>
        <w:spacing w:after="0" w:line="360" w:lineRule="auto"/>
        <w:jc w:val="both"/>
        <w:rPr>
          <w:rFonts w:ascii="David" w:eastAsia="David" w:hAnsi="David" w:cs="David"/>
          <w:sz w:val="24"/>
          <w:szCs w:val="24"/>
          <w:u w:val="single"/>
          <w:rtl/>
        </w:rPr>
      </w:pPr>
      <w:r w:rsidRPr="00E4655B">
        <w:rPr>
          <w:rFonts w:ascii="David" w:eastAsia="David" w:hAnsi="David" w:cs="David"/>
          <w:sz w:val="24"/>
          <w:szCs w:val="24"/>
          <w:u w:val="single"/>
          <w:rtl/>
        </w:rPr>
        <w:t xml:space="preserve">המזכירות תסגור את התיק. </w:t>
      </w:r>
    </w:p>
    <w:p w:rsidR="00E4655B" w:rsidRPr="00E4655B" w:rsidRDefault="00E4655B" w:rsidP="00E4655B">
      <w:pPr>
        <w:spacing w:after="0" w:line="240" w:lineRule="auto"/>
        <w:rPr>
          <w:rFonts w:ascii="David" w:eastAsia="David" w:hAnsi="David" w:cs="David"/>
          <w:sz w:val="24"/>
          <w:szCs w:val="24"/>
          <w:rtl/>
        </w:rPr>
      </w:pPr>
    </w:p>
    <w:p w:rsidR="00E4655B" w:rsidRPr="00F530AD" w:rsidRDefault="00E4655B" w:rsidP="00E4655B">
      <w:pPr>
        <w:spacing w:after="0" w:line="360" w:lineRule="auto"/>
        <w:rPr>
          <w:rFonts w:ascii="David" w:eastAsia="David" w:hAnsi="David" w:cs="David"/>
          <w:sz w:val="24"/>
          <w:szCs w:val="24"/>
          <w:rtl/>
        </w:rPr>
      </w:pPr>
      <w:r w:rsidRPr="00F530AD">
        <w:rPr>
          <w:rFonts w:ascii="David" w:eastAsia="David" w:hAnsi="David" w:cs="David"/>
          <w:sz w:val="24"/>
          <w:szCs w:val="24"/>
          <w:rtl/>
        </w:rPr>
        <w:t xml:space="preserve">ניתן והודע היום </w:t>
      </w:r>
      <w:sdt>
        <w:sdtPr>
          <w:rPr>
            <w:rFonts w:ascii="David" w:eastAsia="David" w:hAnsi="David" w:cs="David"/>
            <w:sz w:val="24"/>
            <w:szCs w:val="24"/>
            <w:rtl/>
          </w:rPr>
          <w:alias w:val="2207"/>
          <w:tag w:val="2207"/>
          <w:id w:val="1329636924"/>
          <w:text w:multiLine="1"/>
        </w:sdtPr>
        <w:sdtEndPr/>
        <w:sdtContent>
          <w:r w:rsidRPr="00F530AD">
            <w:rPr>
              <w:rFonts w:ascii="David" w:eastAsia="David" w:hAnsi="David" w:cs="David"/>
              <w:sz w:val="24"/>
              <w:szCs w:val="24"/>
              <w:rtl/>
            </w:rPr>
            <w:t>ט' אלול תשפ"ד</w:t>
          </w:r>
        </w:sdtContent>
      </w:sdt>
      <w:r w:rsidRPr="00F530AD">
        <w:rPr>
          <w:rFonts w:ascii="David" w:eastAsia="David" w:hAnsi="David" w:cs="David"/>
          <w:sz w:val="24"/>
          <w:szCs w:val="24"/>
          <w:rtl/>
        </w:rPr>
        <w:t xml:space="preserve">, </w:t>
      </w:r>
      <w:sdt>
        <w:sdtPr>
          <w:rPr>
            <w:rFonts w:ascii="David" w:eastAsia="David" w:hAnsi="David" w:cs="David"/>
            <w:sz w:val="24"/>
            <w:szCs w:val="24"/>
            <w:rtl/>
          </w:rPr>
          <w:alias w:val="2206"/>
          <w:tag w:val="2206"/>
          <w:id w:val="-1474593809"/>
          <w:text w:multiLine="1"/>
        </w:sdtPr>
        <w:sdtEndPr/>
        <w:sdtContent>
          <w:r w:rsidRPr="00F530AD">
            <w:rPr>
              <w:rFonts w:ascii="David" w:eastAsia="David" w:hAnsi="David" w:cs="David"/>
              <w:sz w:val="24"/>
              <w:szCs w:val="24"/>
            </w:rPr>
            <w:t>12/09/2024</w:t>
          </w:r>
        </w:sdtContent>
      </w:sdt>
      <w:r w:rsidRPr="00F530AD">
        <w:rPr>
          <w:rFonts w:ascii="David" w:eastAsia="David" w:hAnsi="David" w:cs="David"/>
          <w:sz w:val="24"/>
          <w:szCs w:val="24"/>
          <w:rtl/>
        </w:rPr>
        <w:t xml:space="preserve"> במעמד הנוכחים.</w:t>
      </w:r>
    </w:p>
    <w:p w:rsidR="00E4655B" w:rsidRPr="00E4655B" w:rsidRDefault="00E4655B" w:rsidP="00E4655B">
      <w:pPr>
        <w:spacing w:after="0" w:line="240" w:lineRule="auto"/>
        <w:rPr>
          <w:rFonts w:ascii="David" w:eastAsia="David" w:hAnsi="David" w:cs="David"/>
          <w:sz w:val="24"/>
          <w:szCs w:val="24"/>
          <w:rtl/>
        </w:rPr>
      </w:pPr>
    </w:p>
    <w:tbl>
      <w:tblPr>
        <w:tblStyle w:val="1"/>
        <w:bidiVisual/>
        <w:tblW w:w="3936" w:type="dxa"/>
        <w:tblInd w:w="4390"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E4655B" w:rsidRPr="00E4655B" w:rsidTr="00F530AD">
        <w:trPr>
          <w:trHeight w:val="316"/>
        </w:trPr>
        <w:tc>
          <w:tcPr>
            <w:tcW w:w="3936" w:type="dxa"/>
            <w:tcBorders>
              <w:top w:val="nil"/>
              <w:left w:val="nil"/>
              <w:bottom w:val="single" w:sz="4" w:space="0" w:color="auto"/>
              <w:right w:val="nil"/>
            </w:tcBorders>
            <w:vAlign w:val="center"/>
          </w:tcPr>
          <w:p w:rsidR="00E4655B" w:rsidRPr="00E4655B" w:rsidRDefault="00E27845" w:rsidP="00E4655B">
            <w:pPr>
              <w:jc w:val="center"/>
              <w:rPr>
                <w:rFonts w:ascii="David" w:eastAsia="David" w:hAnsi="David" w:cs="David"/>
                <w:sz w:val="24"/>
                <w:szCs w:val="24"/>
                <w:rtl/>
              </w:rPr>
            </w:pPr>
            <w:sdt>
              <w:sdtPr>
                <w:rPr>
                  <w:rFonts w:hint="cs"/>
                  <w:sz w:val="24"/>
                  <w:szCs w:val="24"/>
                  <w:rtl/>
                </w:rPr>
                <w:alias w:val="MergeField"/>
                <w:tag w:val="2144"/>
                <w:id w:val="246941533"/>
              </w:sdtPr>
              <w:sdtEndPr/>
              <w:sdtContent>
                <w:r w:rsidR="00E4655B" w:rsidRPr="00E4655B">
                  <w:rPr>
                    <w:rFonts w:ascii="David" w:eastAsia="David" w:hAnsi="David" w:cs="David"/>
                    <w:noProof/>
                    <w:sz w:val="24"/>
                    <w:szCs w:val="24"/>
                  </w:rPr>
                  <w:drawing>
                    <wp:inline distT="0" distB="0" distL="0" distR="0" wp14:anchorId="73B0889B" wp14:editId="6D8DA9D7">
                      <wp:extent cx="904875" cy="457200"/>
                      <wp:effectExtent l="0" t="0" r="9525" b="0"/>
                      <wp:docPr id="4"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04875" cy="457200"/>
                              </a:xfrm>
                              <a:prstGeom prst="rect">
                                <a:avLst/>
                              </a:prstGeom>
                              <a:noFill/>
                              <a:ln>
                                <a:noFill/>
                              </a:ln>
                            </pic:spPr>
                          </pic:pic>
                        </a:graphicData>
                      </a:graphic>
                    </wp:inline>
                  </w:drawing>
                </w:r>
              </w:sdtContent>
            </w:sdt>
          </w:p>
          <w:p w:rsidR="00E4655B" w:rsidRPr="00E4655B" w:rsidRDefault="00E4655B" w:rsidP="00E4655B">
            <w:pPr>
              <w:jc w:val="center"/>
              <w:rPr>
                <w:rFonts w:ascii="David" w:eastAsia="David" w:hAnsi="David" w:cs="David"/>
                <w:sz w:val="24"/>
                <w:szCs w:val="24"/>
                <w:rtl/>
              </w:rPr>
            </w:pPr>
          </w:p>
        </w:tc>
      </w:tr>
      <w:tr w:rsidR="00E4655B" w:rsidRPr="00E4655B" w:rsidTr="00F530AD">
        <w:trPr>
          <w:trHeight w:val="361"/>
        </w:trPr>
        <w:tc>
          <w:tcPr>
            <w:tcW w:w="3936" w:type="dxa"/>
            <w:tcBorders>
              <w:top w:val="single" w:sz="4" w:space="0" w:color="auto"/>
              <w:left w:val="nil"/>
              <w:bottom w:val="nil"/>
              <w:right w:val="nil"/>
            </w:tcBorders>
            <w:vAlign w:val="center"/>
            <w:hideMark/>
          </w:tcPr>
          <w:p w:rsidR="00E4655B" w:rsidRPr="00E4655B" w:rsidRDefault="00E27845" w:rsidP="00E4655B">
            <w:pPr>
              <w:jc w:val="center"/>
              <w:rPr>
                <w:rFonts w:ascii="David" w:eastAsia="David" w:hAnsi="David" w:cs="David"/>
                <w:b/>
                <w:bCs/>
                <w:sz w:val="24"/>
                <w:szCs w:val="24"/>
              </w:rPr>
            </w:pPr>
            <w:sdt>
              <w:sdtPr>
                <w:rPr>
                  <w:rFonts w:ascii="David" w:eastAsia="David" w:hAnsi="David" w:cs="David"/>
                  <w:b/>
                  <w:bCs/>
                  <w:sz w:val="24"/>
                  <w:szCs w:val="24"/>
                  <w:rtl/>
                </w:rPr>
                <w:alias w:val="2141"/>
                <w:tag w:val="2141"/>
                <w:id w:val="2119712613"/>
                <w:placeholder>
                  <w:docPart w:val="D1EFB3BAE1D1445089B84D19DB414631"/>
                </w:placeholder>
                <w:text w:multiLine="1"/>
              </w:sdtPr>
              <w:sdtEndPr/>
              <w:sdtContent>
                <w:r w:rsidR="00E4655B" w:rsidRPr="00E4655B">
                  <w:rPr>
                    <w:rFonts w:ascii="David" w:eastAsia="David" w:hAnsi="David" w:cs="David"/>
                    <w:b/>
                    <w:bCs/>
                    <w:sz w:val="24"/>
                    <w:szCs w:val="24"/>
                    <w:rtl/>
                  </w:rPr>
                  <w:t>עידית</w:t>
                </w:r>
              </w:sdtContent>
            </w:sdt>
            <w:r w:rsidR="00E4655B" w:rsidRPr="00E4655B">
              <w:rPr>
                <w:rFonts w:cs="David"/>
                <w:b/>
                <w:bCs/>
                <w:sz w:val="24"/>
                <w:szCs w:val="24"/>
                <w:rtl/>
              </w:rPr>
              <w:t xml:space="preserve"> </w:t>
            </w:r>
            <w:sdt>
              <w:sdtPr>
                <w:rPr>
                  <w:rFonts w:hint="cs"/>
                  <w:b/>
                  <w:bCs/>
                  <w:sz w:val="24"/>
                  <w:szCs w:val="24"/>
                  <w:rtl/>
                </w:rPr>
                <w:alias w:val="2142"/>
                <w:tag w:val="2142"/>
                <w:id w:val="-26639521"/>
                <w:placeholder>
                  <w:docPart w:val="114EDCF33F47409CA258C4D0E5E669A9"/>
                </w:placeholder>
                <w:text w:multiLine="1"/>
              </w:sdtPr>
              <w:sdtEndPr/>
              <w:sdtContent>
                <w:r w:rsidR="00E4655B" w:rsidRPr="00E4655B">
                  <w:rPr>
                    <w:rFonts w:hint="cs"/>
                    <w:b/>
                    <w:bCs/>
                    <w:sz w:val="24"/>
                    <w:szCs w:val="24"/>
                    <w:rtl/>
                  </w:rPr>
                  <w:t>בן-דב ג'וליאן</w:t>
                </w:r>
              </w:sdtContent>
            </w:sdt>
            <w:r w:rsidR="00E4655B" w:rsidRPr="00E4655B">
              <w:rPr>
                <w:rFonts w:cs="David"/>
                <w:b/>
                <w:bCs/>
                <w:sz w:val="24"/>
                <w:szCs w:val="24"/>
                <w:rtl/>
              </w:rPr>
              <w:t xml:space="preserve">, </w:t>
            </w:r>
            <w:sdt>
              <w:sdtPr>
                <w:rPr>
                  <w:rFonts w:hint="cs"/>
                  <w:b/>
                  <w:bCs/>
                  <w:sz w:val="24"/>
                  <w:szCs w:val="24"/>
                  <w:rtl/>
                </w:rPr>
                <w:alias w:val="2143"/>
                <w:tag w:val="2143"/>
                <w:id w:val="1647695366"/>
                <w:placeholder>
                  <w:docPart w:val="48A1F50B237A47CD94BF89A9AFFAF8A3"/>
                </w:placeholder>
                <w:text w:multiLine="1"/>
              </w:sdtPr>
              <w:sdtEndPr/>
              <w:sdtContent>
                <w:r w:rsidR="00E4655B" w:rsidRPr="00E4655B">
                  <w:rPr>
                    <w:rFonts w:hint="cs"/>
                    <w:b/>
                    <w:bCs/>
                    <w:sz w:val="24"/>
                    <w:szCs w:val="24"/>
                    <w:rtl/>
                  </w:rPr>
                  <w:t>שופטת</w:t>
                </w:r>
              </w:sdtContent>
            </w:sdt>
          </w:p>
        </w:tc>
      </w:tr>
    </w:tbl>
    <w:p w:rsidR="00E4655B" w:rsidRPr="00E4655B" w:rsidRDefault="00E4655B" w:rsidP="00F530AD">
      <w:pPr>
        <w:spacing w:after="0" w:line="240" w:lineRule="auto"/>
        <w:rPr>
          <w:rFonts w:ascii="David" w:eastAsia="David" w:hAnsi="David" w:cs="David"/>
          <w:sz w:val="24"/>
          <w:szCs w:val="24"/>
          <w:rtl/>
        </w:rPr>
      </w:pPr>
    </w:p>
    <w:sectPr w:rsidR="00E4655B" w:rsidRPr="00E4655B" w:rsidSect="00A16DD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8D4"/>
    <w:rsid w:val="000438D4"/>
    <w:rsid w:val="00882E78"/>
    <w:rsid w:val="009D725A"/>
    <w:rsid w:val="00A16DD5"/>
    <w:rsid w:val="00E27845"/>
    <w:rsid w:val="00E4655B"/>
    <w:rsid w:val="00F530A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B4C0DA-1AD2-4745-9A2A-99E4D1A73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4655B"/>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רשת טבלה1"/>
    <w:basedOn w:val="a1"/>
    <w:rsid w:val="00E4655B"/>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semiHidden/>
    <w:unhideWhenUsed/>
    <w:rsid w:val="00E4655B"/>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5">
    <w:name w:val="כותרת עליונה תו"/>
    <w:basedOn w:val="a0"/>
    <w:link w:val="a4"/>
    <w:semiHidden/>
    <w:rsid w:val="00E4655B"/>
    <w:rPr>
      <w:rFonts w:ascii="Times New Roman" w:eastAsia="Times New Roman" w:hAnsi="Times New Roman" w:cs="David"/>
      <w:noProof/>
      <w:sz w:val="24"/>
      <w:szCs w:val="24"/>
    </w:rPr>
  </w:style>
  <w:style w:type="paragraph" w:styleId="NormalWeb">
    <w:name w:val="Normal (Web)"/>
    <w:basedOn w:val="a"/>
    <w:uiPriority w:val="99"/>
    <w:semiHidden/>
    <w:unhideWhenUsed/>
    <w:rsid w:val="00E4655B"/>
    <w:pPr>
      <w:bidi w:val="0"/>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70069">
      <w:bodyDiv w:val="1"/>
      <w:marLeft w:val="0"/>
      <w:marRight w:val="0"/>
      <w:marTop w:val="0"/>
      <w:marBottom w:val="0"/>
      <w:divBdr>
        <w:top w:val="none" w:sz="0" w:space="0" w:color="auto"/>
        <w:left w:val="none" w:sz="0" w:space="0" w:color="auto"/>
        <w:bottom w:val="none" w:sz="0" w:space="0" w:color="auto"/>
        <w:right w:val="none" w:sz="0" w:space="0" w:color="auto"/>
      </w:divBdr>
    </w:div>
    <w:div w:id="139299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1EFB3BAE1D1445089B84D19DB414631"/>
        <w:category>
          <w:name w:val="כללי"/>
          <w:gallery w:val="placeholder"/>
        </w:category>
        <w:types>
          <w:type w:val="bbPlcHdr"/>
        </w:types>
        <w:behaviors>
          <w:behavior w:val="content"/>
        </w:behaviors>
        <w:guid w:val="{7E8CF3FE-DEF5-45B9-B7B1-48435C392FE7}"/>
      </w:docPartPr>
      <w:docPartBody>
        <w:p w:rsidR="009841F1" w:rsidRDefault="00045E9B" w:rsidP="00045E9B">
          <w:pPr>
            <w:pStyle w:val="D1EFB3BAE1D1445089B84D19DB414631"/>
          </w:pPr>
          <w:r>
            <w:rPr>
              <w:rFonts w:cs="David"/>
              <w:b/>
              <w:bCs/>
              <w:rtl/>
            </w:rPr>
            <w:t>שם פרטי חותם</w:t>
          </w:r>
        </w:p>
      </w:docPartBody>
    </w:docPart>
    <w:docPart>
      <w:docPartPr>
        <w:name w:val="114EDCF33F47409CA258C4D0E5E669A9"/>
        <w:category>
          <w:name w:val="כללי"/>
          <w:gallery w:val="placeholder"/>
        </w:category>
        <w:types>
          <w:type w:val="bbPlcHdr"/>
        </w:types>
        <w:behaviors>
          <w:behavior w:val="content"/>
        </w:behaviors>
        <w:guid w:val="{5929BCB8-409D-4CCD-B007-E3C20964F113}"/>
      </w:docPartPr>
      <w:docPartBody>
        <w:p w:rsidR="009841F1" w:rsidRDefault="00045E9B" w:rsidP="00045E9B">
          <w:pPr>
            <w:pStyle w:val="114EDCF33F47409CA258C4D0E5E669A9"/>
          </w:pPr>
          <w:r>
            <w:rPr>
              <w:rFonts w:cs="David"/>
              <w:b/>
              <w:bCs/>
              <w:rtl/>
            </w:rPr>
            <w:t>שם משפחה חותם</w:t>
          </w:r>
        </w:p>
      </w:docPartBody>
    </w:docPart>
    <w:docPart>
      <w:docPartPr>
        <w:name w:val="48A1F50B237A47CD94BF89A9AFFAF8A3"/>
        <w:category>
          <w:name w:val="כללי"/>
          <w:gallery w:val="placeholder"/>
        </w:category>
        <w:types>
          <w:type w:val="bbPlcHdr"/>
        </w:types>
        <w:behaviors>
          <w:behavior w:val="content"/>
        </w:behaviors>
        <w:guid w:val="{DF492273-D07E-47E3-9414-BCA128E15DD7}"/>
      </w:docPartPr>
      <w:docPartBody>
        <w:p w:rsidR="009841F1" w:rsidRDefault="00045E9B" w:rsidP="00045E9B">
          <w:pPr>
            <w:pStyle w:val="48A1F50B237A47CD94BF89A9AFFAF8A3"/>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E9B"/>
    <w:rsid w:val="00045E9B"/>
    <w:rsid w:val="002652C9"/>
    <w:rsid w:val="00323BA4"/>
    <w:rsid w:val="009841F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87412CFB708403088B722FE8DA6798C">
    <w:name w:val="987412CFB708403088B722FE8DA6798C"/>
    <w:rsid w:val="00045E9B"/>
    <w:pPr>
      <w:bidi/>
    </w:pPr>
  </w:style>
  <w:style w:type="paragraph" w:customStyle="1" w:styleId="9E39189148B24956BF03EB7CB06DAD55">
    <w:name w:val="9E39189148B24956BF03EB7CB06DAD55"/>
    <w:rsid w:val="00045E9B"/>
    <w:pPr>
      <w:bidi/>
    </w:pPr>
  </w:style>
  <w:style w:type="paragraph" w:customStyle="1" w:styleId="15089792DB38452B84F6532A060F8D1A">
    <w:name w:val="15089792DB38452B84F6532A060F8D1A"/>
    <w:rsid w:val="00045E9B"/>
    <w:pPr>
      <w:bidi/>
    </w:pPr>
  </w:style>
  <w:style w:type="paragraph" w:customStyle="1" w:styleId="E2B49DAD9AF94E928693204A3D5083E1">
    <w:name w:val="E2B49DAD9AF94E928693204A3D5083E1"/>
    <w:rsid w:val="00045E9B"/>
    <w:pPr>
      <w:bidi/>
    </w:pPr>
  </w:style>
  <w:style w:type="paragraph" w:customStyle="1" w:styleId="D1EFB3BAE1D1445089B84D19DB414631">
    <w:name w:val="D1EFB3BAE1D1445089B84D19DB414631"/>
    <w:rsid w:val="00045E9B"/>
    <w:pPr>
      <w:bidi/>
    </w:pPr>
  </w:style>
  <w:style w:type="paragraph" w:customStyle="1" w:styleId="114EDCF33F47409CA258C4D0E5E669A9">
    <w:name w:val="114EDCF33F47409CA258C4D0E5E669A9"/>
    <w:rsid w:val="00045E9B"/>
    <w:pPr>
      <w:bidi/>
    </w:pPr>
  </w:style>
  <w:style w:type="paragraph" w:customStyle="1" w:styleId="48A1F50B237A47CD94BF89A9AFFAF8A3">
    <w:name w:val="48A1F50B237A47CD94BF89A9AFFAF8A3"/>
    <w:rsid w:val="00045E9B"/>
    <w:pPr>
      <w:bidi/>
    </w:pPr>
  </w:style>
  <w:style w:type="character" w:styleId="a3">
    <w:name w:val="Placeholder Text"/>
    <w:basedOn w:val="a0"/>
    <w:uiPriority w:val="99"/>
    <w:semiHidden/>
    <w:rsid w:val="00045E9B"/>
  </w:style>
  <w:style w:type="paragraph" w:customStyle="1" w:styleId="1B7375E1A4E04FE8B95BAE8FCFADE3C4">
    <w:name w:val="1B7375E1A4E04FE8B95BAE8FCFADE3C4"/>
    <w:rsid w:val="00045E9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03500-3D5E-4601-A9DF-061AE16D7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555</Words>
  <Characters>2779</Characters>
  <Application>Microsoft Office Word</Application>
  <DocSecurity>0</DocSecurity>
  <Lines>23</Lines>
  <Paragraphs>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עידית בן-דב ג'וליאן</dc:creator>
  <cp:keywords/>
  <dc:description/>
  <cp:lastModifiedBy>גרמאו מנגיסטו</cp:lastModifiedBy>
  <cp:revision>2</cp:revision>
  <dcterms:created xsi:type="dcterms:W3CDTF">2024-09-16T09:42:00Z</dcterms:created>
  <dcterms:modified xsi:type="dcterms:W3CDTF">2024-09-16T09:42:00Z</dcterms:modified>
</cp:coreProperties>
</file>